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622"/>
        <w:gridCol w:w="2409"/>
        <w:gridCol w:w="1985"/>
        <w:gridCol w:w="1842"/>
        <w:gridCol w:w="993"/>
        <w:gridCol w:w="1247"/>
        <w:gridCol w:w="4111"/>
      </w:tblGrid>
      <w:tr w:rsidR="006335FA" w:rsidRPr="006335FA" w:rsidTr="004D465C">
        <w:trPr>
          <w:trHeight w:val="2550"/>
        </w:trPr>
        <w:tc>
          <w:tcPr>
            <w:tcW w:w="647" w:type="dxa"/>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w:t>
            </w:r>
          </w:p>
        </w:tc>
        <w:tc>
          <w:tcPr>
            <w:tcW w:w="1622" w:type="dxa"/>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Наименование товара</w:t>
            </w: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Наименование показателя (неизменяемое)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Значение показателей, которые не могут изменяться (неизменяемое)</w:t>
            </w:r>
          </w:p>
        </w:tc>
        <w:tc>
          <w:tcPr>
            <w:tcW w:w="1842" w:type="dxa"/>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Конкретные характеристики, предлагаемы участником закупки</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Ед. изм.</w:t>
            </w:r>
          </w:p>
        </w:tc>
        <w:tc>
          <w:tcPr>
            <w:tcW w:w="1247" w:type="dxa"/>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Кол-во, шт.</w:t>
            </w: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Обоснование применения дополнительных требований</w:t>
            </w:r>
          </w:p>
        </w:tc>
      </w:tr>
      <w:tr w:rsidR="006335FA" w:rsidRPr="006335FA" w:rsidTr="004D465C">
        <w:trPr>
          <w:trHeight w:val="510"/>
        </w:trPr>
        <w:tc>
          <w:tcPr>
            <w:tcW w:w="647"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w:t>
            </w:r>
          </w:p>
        </w:tc>
        <w:tc>
          <w:tcPr>
            <w:tcW w:w="1622"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Цифровая лаборатория по физиологии</w:t>
            </w:r>
          </w:p>
          <w:p w:rsidR="006335FA" w:rsidRPr="006335FA" w:rsidRDefault="006335FA" w:rsidP="006335FA">
            <w:pPr>
              <w:spacing w:after="0" w:line="240" w:lineRule="auto"/>
              <w:rPr>
                <w:rFonts w:ascii="Times New Roman" w:eastAsia="Calibri" w:hAnsi="Times New Roman" w:cs="Times New Roman"/>
                <w:color w:val="000000"/>
                <w:lang w:eastAsia="ru-RU"/>
              </w:rPr>
            </w:pPr>
          </w:p>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Предметная область</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Физиология</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Физиология</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247"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61</w:t>
            </w: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132"/>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пользователя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Обучающийся</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Обучающийся</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передачи показаний датчиков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Прямое подключение к устройству</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Прямое подключение к устройству</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Дополнительные материалы в комплекте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Программное обеспечение, Справочно-методические материалы</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Программное обеспечение, Справочно-методические материалы</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Беспроводной мультидатчик по физиологии с пятью встроенными датчиками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Возможность одновременно получать сигналы с нескольких датчиков, встроенных в корпус беспроводного мультидатчика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Характеристики мультидатчика: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разрядность встроенной АЦП</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12</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бит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Интерфейс подключения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val="en-US" w:eastAsia="ru-RU"/>
              </w:rPr>
            </w:pPr>
            <w:r w:rsidRPr="006335FA">
              <w:rPr>
                <w:rFonts w:ascii="Times New Roman" w:eastAsia="Calibri" w:hAnsi="Times New Roman" w:cs="Times New Roman"/>
                <w:color w:val="000000"/>
                <w:lang w:val="en-US" w:eastAsia="ru-RU"/>
              </w:rPr>
              <w:t>Bluetooth low energy (BLE) 4.1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val="en-US" w:eastAsia="ru-RU"/>
              </w:rPr>
            </w:pPr>
            <w:r w:rsidRPr="006335FA">
              <w:rPr>
                <w:rFonts w:ascii="Times New Roman" w:eastAsia="Calibri" w:hAnsi="Times New Roman" w:cs="Times New Roman"/>
                <w:color w:val="000000"/>
                <w:lang w:val="en-US"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val="en-US"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val="en-US"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val="en-US"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val="en-US"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встроенная память объемом</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Кбайт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емкость батареи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0,7</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А*ч</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номинальное напряжение батареи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3,7</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контроллер заряда батареи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Статусы индикаторов беспроводного мультидатчика: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готовность к сопряжению мультидатчика;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успешное сопряжение мультидатчика с регистратором данных на котором установлена программа сбора и обработки данных;</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работа мультидатчика в режиме сбора и передачи данных;</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102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работа мультидатчика в режиме логирования (запись измеряемых данных во внутреннюю память мультидатчика, для последующего получения этих данных в программе сбора и обработки данных);</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низкий заряд аккумулятора мультидатчика.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Габаритные размеры корпуса беспроводного мультидатчика: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89</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Ширина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63</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Высота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27</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Разъем для подключения </w:t>
            </w:r>
            <w:r w:rsidRPr="006335FA">
              <w:rPr>
                <w:rFonts w:ascii="Times New Roman" w:eastAsia="Calibri" w:hAnsi="Times New Roman" w:cs="Times New Roman"/>
                <w:color w:val="000000"/>
                <w:lang w:eastAsia="ru-RU"/>
              </w:rPr>
              <w:lastRenderedPageBreak/>
              <w:t>зарядного устройства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miniUSB (тип В)</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miniUSB (тип В)</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Описание встроенных датчиков: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 </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Датчик артериального давления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В комплект датчика входит специальная манжета с утягивающим механизмом, груша тонометрическая и трубка для подключения к датчику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 программном обеспечении определяется систолическое, диастолическое давление и пульс исследуемого</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измерения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0 до 250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 рт. ст.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Разрешение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0,1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 рт. ст.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Датчик пульса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Непрерывно определяет частоту сердечного ритма. Датчик имеет выносную клипсу, одеваемую на палец </w:t>
            </w:r>
            <w:r w:rsidRPr="006335FA">
              <w:rPr>
                <w:rFonts w:ascii="Times New Roman" w:eastAsia="Calibri" w:hAnsi="Times New Roman" w:cs="Times New Roman"/>
                <w:color w:val="000000"/>
                <w:lang w:eastAsia="ru-RU"/>
              </w:rPr>
              <w:lastRenderedPageBreak/>
              <w:t xml:space="preserve">исследуемого.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 xml:space="preserve">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w:t>
            </w:r>
            <w:r w:rsidRPr="006335FA">
              <w:rPr>
                <w:rFonts w:ascii="Times New Roman" w:eastAsia="Calibri" w:hAnsi="Times New Roman" w:cs="Times New Roman"/>
                <w:lang w:eastAsia="ru-RU"/>
              </w:rPr>
              <w:lastRenderedPageBreak/>
              <w:t>измерений, удобства использования цифровой лаборатории.</w:t>
            </w: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ИК фото- и светодиоды, расположенные на одной оси, проходящей через третью фалангу пальца встроены в корпус клипсы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измерения пульса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25 до 250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уд/мин</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Разрешение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уд/мин</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Диаметр разъема-штекера для подключения клипсы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Датчик температуры тела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измерения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+25 до +50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ºС</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Разрешение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0,1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ºС</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Выносной герметичный температурный зонд из нержавеющей стали с хромированным покрытием</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Длина металлической части зонда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100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Диаметр зонда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Диаметр разъема-штекера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Коэффициент теплопроводности </w:t>
            </w:r>
            <w:r w:rsidRPr="006335FA">
              <w:rPr>
                <w:rFonts w:ascii="Times New Roman" w:eastAsia="Calibri" w:hAnsi="Times New Roman" w:cs="Times New Roman"/>
                <w:color w:val="000000"/>
                <w:lang w:eastAsia="ru-RU"/>
              </w:rPr>
              <w:lastRenderedPageBreak/>
              <w:t>термопасты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4</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Вт/(м*К)</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Датчик частоты дыхания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дыхательная трубка со встроенным в ней чувствительным элементом</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гигиенические одноразовые насадки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измерения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0 до 100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циклов/мин</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Разрешение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0,5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циклов/мин</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Диаметр дыхательной трубки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12</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Датчик ускорения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Измеряет ускорение движущихся объектов по 3-м осям координат</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измерения 1</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-2 до +2</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g</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измерения 2</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-4 до +4</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g</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измерения 3</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-8 до +8</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g</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Разрешение при диапазоне 1</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0,001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g</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Разрешение при </w:t>
            </w:r>
            <w:r w:rsidRPr="006335FA">
              <w:rPr>
                <w:rFonts w:ascii="Times New Roman" w:eastAsia="Calibri" w:hAnsi="Times New Roman" w:cs="Times New Roman"/>
                <w:color w:val="000000"/>
                <w:lang w:eastAsia="ru-RU"/>
              </w:rPr>
              <w:lastRenderedPageBreak/>
              <w:t>диапазоне 2</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0,002</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g</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Разрешение при диапазоне 3</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0,004</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g</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Отдельные устройства: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Датчик - электрокардиограф</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Габаритные размеры корпуса: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55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Ширина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Высота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Разъем для подключения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USB (тип B)</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USB (тип B)</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входного напряжения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-300 до +300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мВ</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Ток потребления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180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мкА</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Количество одноразовых нательных электродов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100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Диаметр разъема-штекера, мм</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Датчик уровня pH</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Габаритные размеры </w:t>
            </w:r>
            <w:r w:rsidRPr="006335FA">
              <w:rPr>
                <w:rFonts w:ascii="Times New Roman" w:eastAsia="Calibri" w:hAnsi="Times New Roman" w:cs="Times New Roman"/>
                <w:color w:val="000000"/>
                <w:lang w:eastAsia="ru-RU"/>
              </w:rPr>
              <w:lastRenderedPageBreak/>
              <w:t>корпуса: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 xml:space="preserve">Для обеспечения выполнения </w:t>
            </w:r>
            <w:r w:rsidRPr="006335FA">
              <w:rPr>
                <w:rFonts w:ascii="Times New Roman" w:eastAsia="Calibri" w:hAnsi="Times New Roman" w:cs="Times New Roman"/>
                <w:lang w:eastAsia="ru-RU"/>
              </w:rPr>
              <w:lastRenderedPageBreak/>
              <w:t>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55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Ширина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Высота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Разъем для подключения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USB (тип B)</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USB (тип B)</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Оборудован комбинированным измерительным электродом рН с разъемом BNC и буферным раствором</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измерения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0 до 14</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рН</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Разрешение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0,01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рН</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рабочих температур</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+10 до +80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Длина измерительного электрода рН</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140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Датчик кистевой силы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Габаритные размеры корпуса: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71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Ширина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50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Высота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28</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Разъем для подключения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USB (тип B)</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USB (тип B)</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Измеряет сжимающее усилие, создаваемое кистью руки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измерения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-50 до 50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Разрешение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0,02</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Диаметр резьбового соединения для подключения вставки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М4</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М4</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Датчик освещенности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Габаритные размеры корпуса: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55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Ширина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Высота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Измеряет уровень освещенности и обладает спектральной чувствительностью близкой к чувствительности человеческого глаза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102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адаптивный логарифмический аналого-цифровой преобразователь, автоматически переключающий чувствительность в зависимости от текущей освещенности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защита от инфракрасных излучений с помощью светового фильтра, установленным на корпусе чувствительного элемента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Измерение освещенности в диапазоне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0 до 188000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лк</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Диапазон рабочих длин волн</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От 350 до 780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Разрядность встроенного логарифмического аналого-цифрового преобразователя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22</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бит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Программное обеспечение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Функционирование на русском языке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Функционал быстрого запуска (запуск измерений подключенных датчиков без дополнительных настроек).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102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Автоматическое определение подключенных по USB к компьютеру, а также планшету датчиков и мультидатчиков и отображение списка подключенных датчиков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Функционал выбора датчиков для измерения – возможность скрыть подключенные датчики, которые не требуются в режиме измерения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Интерфейс подключения датчиков по протоколу Bluetooth 4.0. Интерфейс подключения датчиков по протоколу Bluetooth содержит функционал поиска доступных включенных устройств, отображение списка доступных устройств, функционал подключения найденных и доступных устройств, отображение списка подключенных устройств, функционал отключения подключенных к программе устройств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Функционал детальной настройки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 настройка периода опроса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 выбор единиц измерения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 возможность скрытия датчика в режиме измерения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4. настройка цвета линии и толщины линии на графике для датчика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5. настройка цвета и толщины точек на графике для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6. настройка видимого интервала измерений на графике для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7. переход в режим калибровки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8. выбор диапазона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Функционал общих настроек: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 Настройка продолжительности эксперимента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 Настройка вида графика по умолчанию (линия, линия с точками, только точки)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178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3. Настройка вида таймера (секундомер – отображается кол-во секунд и миллисекунд прошедших с момента запуска измерений; часы – таймер отображается в формате электронных часов, показывая количество минут прошедших с момента </w:t>
            </w:r>
            <w:r w:rsidRPr="006335FA">
              <w:rPr>
                <w:rFonts w:ascii="Times New Roman" w:eastAsia="Calibri" w:hAnsi="Times New Roman" w:cs="Times New Roman"/>
                <w:color w:val="000000"/>
                <w:lang w:eastAsia="ru-RU"/>
              </w:rPr>
              <w:lastRenderedPageBreak/>
              <w:t>запуска эксперимента по формату: «ММ:СС», где ММ – это минуты, а СС – секунды.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127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Функционал связки датчиков. Датчики подключенные к связке датчиков отображаются одновременно на одном графике. График связки датчиков имеет функционал настройки отображения минимального и максимального значения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Для каждого датчика предусмотрен свой график, в том числе для датчиков подключенных к связке датчиков. обеспечено переключение между графиками датчиков в режиме реального времени, без приостановки работы программы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Функционал калибровки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 xml:space="preserve">Для обеспечения выполнения учащимися экспериментов по </w:t>
            </w:r>
            <w:r w:rsidRPr="006335FA">
              <w:rPr>
                <w:rFonts w:ascii="Times New Roman" w:eastAsia="Calibri" w:hAnsi="Times New Roman" w:cs="Times New Roman"/>
                <w:lang w:eastAsia="ru-RU"/>
              </w:rPr>
              <w:lastRenderedPageBreak/>
              <w:t>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 Защита функционала калибровки паролем</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 Выбор количества этапов по которым будет производиться калибровка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 Ввод значений для каждого этапа калибровки и сверка с текущими показаниями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4. Расчет нового значения по окончании калибровки и его отображение для принятия решения пользователем о сохранении, а также отмене введенных им значений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5. Сохранение результатов калибровки пользователя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6. Функционал сброса калибровки к заводским настройкам</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Режим сбора данных. В режиме сбора данных обеспечивается: возможность управления датчиком, пересылка команды на смену режима его </w:t>
            </w:r>
            <w:r w:rsidRPr="006335FA">
              <w:rPr>
                <w:rFonts w:ascii="Times New Roman" w:eastAsia="Calibri" w:hAnsi="Times New Roman" w:cs="Times New Roman"/>
                <w:color w:val="000000"/>
                <w:lang w:eastAsia="ru-RU"/>
              </w:rPr>
              <w:lastRenderedPageBreak/>
              <w:t>работы, доступ к цифровому переключателю диапазонов датчика через интерфейс программы, отображение графиков датчика и связки датчиков в режиме реального времени, отображение показаний датчика в режиме реального времени.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Функционал по работе с графиками: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 Возможность перемещать график по различным осям</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 Изменять масштаб графика одновременно по двум осям</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 Изменять масштаб графика по любой оси отдельно</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4. Изменять режим отображения графика (линия, линия с точкой, только точки)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5. Сброс масштаба графика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6. Отображение маркеров для точек значений графика по двум осям на которые наведен курсор</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7. Увеличение масштаба выбранной курсором области графика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178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График датчика в режиме сбора данных автоматически выбирает видимый диапазон по оси значений для отображения всех точек графика. Также предусмотрен функционал установления видимого диапазона по оси значений вручную и фиксации этого диапазона (отключение автоматического определения видимого диапазона)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29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В режиме сбора данных поддерживает подключение и отключение датчиков («на горячую»), работа программы при этих действиях не прервана и/или завершена. При отключении датчика полученные данные сохранены в памяти программы. Повторно подключенный датчик </w:t>
            </w:r>
            <w:r w:rsidRPr="006335FA">
              <w:rPr>
                <w:rFonts w:ascii="Times New Roman" w:eastAsia="Calibri" w:hAnsi="Times New Roman" w:cs="Times New Roman"/>
                <w:color w:val="000000"/>
                <w:lang w:eastAsia="ru-RU"/>
              </w:rPr>
              <w:lastRenderedPageBreak/>
              <w:t>автоматически распознается и продолжает передавать данные, график повторно подключенного датчика продолжен с момента разъединения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637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Автоматическое определение наименования, единиц и пределов измерения подключенных датчиков; отображение таймера работы программы в режиме реального времени одновременно с показаниями датчиков; возможность краткосрочной приостановки программы и последующее возобновление работы без потери полученных данных; просмотр данных на графике за весь период измерений; отображение таблицы показаний в программе. Таблица показаний содержит все полученные </w:t>
            </w:r>
            <w:r w:rsidRPr="006335FA">
              <w:rPr>
                <w:rFonts w:ascii="Times New Roman" w:eastAsia="Calibri" w:hAnsi="Times New Roman" w:cs="Times New Roman"/>
                <w:color w:val="000000"/>
                <w:lang w:eastAsia="ru-RU"/>
              </w:rPr>
              <w:lastRenderedPageBreak/>
              <w:t xml:space="preserve">данные со всех датчиков. Полученные данные сопоставлены со шкалой времени. Отображение данных в таблице в обратном порядке – первой строкой отображается последнее измеренное значение, последней – первое измеренное значение; выгрузку таблицы с полученными данными в формат табличного редактора (*.xls). Выгрузка в табличный редактор осуществляется в порядке проводимых измерений: первой строкой выгружено первое измеренное значение, последней строкой – последнее измеренное значение; сохранение полученных данных во внутреннюю память датчика в автоматическом режиме; считывание сохраненных значений из памяти датчика. Имеется возможность использовать данные </w:t>
            </w:r>
            <w:r w:rsidRPr="006335FA">
              <w:rPr>
                <w:rFonts w:ascii="Times New Roman" w:eastAsia="Calibri" w:hAnsi="Times New Roman" w:cs="Times New Roman"/>
                <w:color w:val="000000"/>
                <w:lang w:eastAsia="ru-RU"/>
              </w:rPr>
              <w:lastRenderedPageBreak/>
              <w:t>для выгрузки в формат табличного процессора, а также продолжения измерений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Функционал полуавтоматической калибровки показаний датчиков в режиме сбора данных. Полуавтоматическая калибровка подразумевает сброс значений к нулевым показаниям с сохранением и </w:t>
            </w:r>
            <w:r w:rsidRPr="006335FA">
              <w:rPr>
                <w:rFonts w:ascii="Times New Roman" w:eastAsia="Calibri" w:hAnsi="Times New Roman" w:cs="Times New Roman"/>
                <w:color w:val="000000"/>
                <w:lang w:eastAsia="ru-RU"/>
              </w:rPr>
              <w:lastRenderedPageBreak/>
              <w:t>отображением пользователю коррелирующего значения.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Кол-во одновременно опрашиваемых датчиков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Функционал с информацией о версии программного обеспечения: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 Отображение номера текущей версии ПО</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 </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 Функционал проверки обновления ПО в виде кнопки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 </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3. Кнопка открытия документации в формате HTML</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 </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4. Информация о контактах для обращения в техническую поддержку</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 </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Справочно-методические материалы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описание работ которые можно провести с использованием цифровой лаборатории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кол-во работ по физиологии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20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Состав каждой лабораторной работы: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теоретические сведения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подробный сценарий при работе с цифровой лабораторией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последовательный алгоритм по обработке полученных данных</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перечень контрольных вопросов для закрепления полученных знаний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печатный вид в цветном исполнении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b/>
                <w:bCs/>
                <w:color w:val="000000"/>
                <w:lang w:eastAsia="ru-RU"/>
              </w:rPr>
            </w:pPr>
            <w:r w:rsidRPr="006335FA">
              <w:rPr>
                <w:rFonts w:ascii="Times New Roman" w:eastAsia="Calibri" w:hAnsi="Times New Roman" w:cs="Times New Roman"/>
                <w:b/>
                <w:bCs/>
                <w:color w:val="000000"/>
                <w:lang w:eastAsia="ru-RU"/>
              </w:rPr>
              <w:t>Аксессуары: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 Соединительный USB кабель:</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кол-во</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133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180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2. Зарядное устройство с кабелем mini-USB для беспроводных мультидатчиков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val="en-US" w:eastAsia="ru-RU"/>
              </w:rPr>
            </w:pPr>
            <w:r w:rsidRPr="006335FA">
              <w:rPr>
                <w:rFonts w:ascii="Times New Roman" w:eastAsia="Calibri" w:hAnsi="Times New Roman" w:cs="Times New Roman"/>
                <w:color w:val="000000"/>
                <w:lang w:val="en-US" w:eastAsia="ru-RU"/>
              </w:rPr>
              <w:t xml:space="preserve">3. USB </w:t>
            </w:r>
            <w:r w:rsidRPr="006335FA">
              <w:rPr>
                <w:rFonts w:ascii="Times New Roman" w:eastAsia="Calibri" w:hAnsi="Times New Roman" w:cs="Times New Roman"/>
                <w:color w:val="000000"/>
                <w:lang w:eastAsia="ru-RU"/>
              </w:rPr>
              <w:t>Адаптера</w:t>
            </w:r>
            <w:r w:rsidRPr="006335FA">
              <w:rPr>
                <w:rFonts w:ascii="Times New Roman" w:eastAsia="Calibri" w:hAnsi="Times New Roman" w:cs="Times New Roman"/>
                <w:color w:val="000000"/>
                <w:lang w:val="en-US" w:eastAsia="ru-RU"/>
              </w:rPr>
              <w:t xml:space="preserve"> Bluetooth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4.1 Low Energy</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4. USB флеш накопитель с записанным программным обеспечением цифровой лаборатории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кол-во</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5. Стержень для закрепления в штативе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кол-во</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диаметр</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6</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длина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100</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мм</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резьба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М4</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6. ПО</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7. Кейс для хранения и транспортировки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8. Паспорт для каждого мультидатчика и отдельного датчика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9. Учебное пособие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Русскоязычный сайт поддержки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Предметная область</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Универсальная</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Универсальная</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Конструктор для проведения экспериментов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Видеоролики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510"/>
        </w:trPr>
        <w:tc>
          <w:tcPr>
            <w:tcW w:w="647"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622"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Учебная лаборатория по нейротехнологии</w:t>
            </w:r>
          </w:p>
          <w:p w:rsidR="006335FA" w:rsidRPr="006335FA" w:rsidRDefault="006335FA" w:rsidP="006335FA">
            <w:pPr>
              <w:spacing w:after="0" w:line="240" w:lineRule="auto"/>
              <w:rPr>
                <w:rFonts w:ascii="Times New Roman" w:eastAsia="Calibri" w:hAnsi="Times New Roman" w:cs="Times New Roman"/>
                <w:color w:val="000000"/>
                <w:lang w:eastAsia="ru-RU"/>
              </w:rPr>
            </w:pPr>
          </w:p>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Предметная область</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Универсальная</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Универсальная</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61</w:t>
            </w: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пользователя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Обучающийся</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Обучающийся</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В состав комплекта входит сенсор для регистрации электромиограммы (далее - Сенсор ЭМГ).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Сенсор ЭМГ осуществляет регистрацию сигнала мышечной активности (электромиограммы (ЭМГ)), которая возникает при напряжении мышц человека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Неинвазивный способ регистрации ЭМГ</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электродов для регистрации ЭМГ - сухие, многоразовые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102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Сенсор ЭМГ обеспечен возможностью крепления к руке человека, что дает возможность регистрировать электрическую активность мышцы в области, над которой располагается сенсор</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102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При напряжении мышцы и корректной установке сенсора ЭМГ обеспечена возможность наблюдения пучности сигнала (т.е. присутствие ЭМГ), при расслаблении мышцы - ее отсутствие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выходного сигнала - цифровой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Интерфейс передачи данных - UART</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Напряжение питания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Потребляемый ток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8</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мА</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Фиксация кабельного коннектора сенсора при его подключении к модулю "Центральный"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Число регистрируемых каналов ЭМГ</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Количество сенсоров ЭМГ в составе лаборатории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В состав комплекта входит сенсор для регистрации электрокардиограммы (Далее - Сенсор ЭКГ).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w:t>
            </w:r>
            <w:r w:rsidRPr="006335FA">
              <w:rPr>
                <w:rFonts w:ascii="Times New Roman" w:eastAsia="Calibri" w:hAnsi="Times New Roman" w:cs="Times New Roman"/>
                <w:color w:val="000000"/>
                <w:lang w:eastAsia="ru-RU"/>
              </w:rPr>
              <w:lastRenderedPageBreak/>
              <w:t>направленностей"</w:t>
            </w: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Сенсор ЭКГ осуществляет регистрацию электрокардиограммы - электрических сигналов, возникающих при работе сердца человека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Сенсор ЭКГ реализует неинвазивный способ регистрации ЭКГ</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102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Сенсор ЭКГ  обеспечивает возможность регистрации электрокардиограммы, электрических сигналов, возникающих при работе сердца человека, в I, II и III отведениях</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электродов для регистрации ЭКГ - одноразовые, гелевые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Должна быть обеспечена возможность подключения электродов к сенсору ЭКГ с помощью соединительных проводов, оборудованных TouchProof разъемами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выходного сигнала - цифровой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Интерфейс передачи данных - UART</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Напряжение питания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Потребляемый ток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12</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мА</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Фиксация кабельного коннектора сенсора при его подключении к модулю "Центральный"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Число регистрируемых каналов ЭКГ</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Количество сенсоров ЭКГ в комплекте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 индикатора работоспособности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 состав комплекта входит сенсор для регистрации фотоплетизмограммы (Далее - Сенсор ФПГ)</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w:t>
            </w:r>
            <w:r w:rsidRPr="006335FA">
              <w:rPr>
                <w:rFonts w:ascii="Times New Roman" w:eastAsia="Calibri" w:hAnsi="Times New Roman" w:cs="Times New Roman"/>
                <w:color w:val="000000"/>
                <w:lang w:eastAsia="ru-RU"/>
              </w:rPr>
              <w:lastRenderedPageBreak/>
              <w:t>естественно-научной и технологической направленностей"</w:t>
            </w:r>
          </w:p>
        </w:tc>
      </w:tr>
      <w:tr w:rsidR="006335FA" w:rsidRPr="006335FA" w:rsidTr="004D465C">
        <w:trPr>
          <w:trHeight w:val="127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Сенсор ФПГ обеспечивает возможность регистрации сигнала фотоплетизмограммы (ФПГ) оптическим путем, за счет изменения отраженного от кровеносных сосудов света, объем которых изменяется под воздействием пульсовой волны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выходного сигнала - цифровой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Интерфейс передачи данных - UART</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Напряжение питания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9</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Потребляемый ток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14</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мА</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Фиксация кабельного коннектора сенсора при его подключении к модулю "Центральный"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Число регистрируемых каналов ФПГ</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Количество сенсоров </w:t>
            </w:r>
            <w:r w:rsidRPr="006335FA">
              <w:rPr>
                <w:rFonts w:ascii="Times New Roman" w:eastAsia="Calibri" w:hAnsi="Times New Roman" w:cs="Times New Roman"/>
                <w:color w:val="000000"/>
                <w:lang w:eastAsia="ru-RU"/>
              </w:rPr>
              <w:lastRenderedPageBreak/>
              <w:t>ФПГ в комплекте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Место регистрации с тела человека - подушечка пальца руки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 регулировки размера крепления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 состав комплекта входит сенсор для регистрации электроэнцефалограммы (Сенсор ЭЭГ)</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64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Сенсор ЭЭГ осуществляет регистрацию одного канала сигнала электрической активности мозга (ЭЭГ)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Сенсор ЭЭГ обеспечивает возможность регистрации электрической активности разных долей мозга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76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Должна быть обеспечена возможность подключения </w:t>
            </w:r>
            <w:r w:rsidRPr="006335FA">
              <w:rPr>
                <w:rFonts w:ascii="Times New Roman" w:eastAsia="Calibri" w:hAnsi="Times New Roman" w:cs="Times New Roman"/>
                <w:color w:val="000000"/>
                <w:lang w:eastAsia="ru-RU"/>
              </w:rPr>
              <w:lastRenderedPageBreak/>
              <w:t>электродов к сенсору с помощью соединительных проводов, оборудованных TouchProof разъемами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Должна быть обеспечена возможность закрепления электродов на поверхности головы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Неинвазивный способ регистрации ЭЭГ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электродов для регистрации ЭЭГ - сухие, многоразовые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выходного сигнала - цифровой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Интерфейс передачи данных - UART</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Напряжение питания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Потребляемый ток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17</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мА</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Фиксация кабельного коннектора сенсора при его подключении к модулю "Центральный"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Число регистрируемых каналов ЭЭГ</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Количество сенсоров ЭЭГ в комплекте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 индикатора работоспособности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Наличие регулировки размера крепления </w:t>
            </w:r>
            <w:r w:rsidRPr="006335FA">
              <w:rPr>
                <w:rFonts w:ascii="Times New Roman" w:eastAsia="Calibri" w:hAnsi="Times New Roman" w:cs="Times New Roman"/>
                <w:color w:val="000000"/>
                <w:lang w:eastAsia="ru-RU"/>
              </w:rPr>
              <w:lastRenderedPageBreak/>
              <w:t>ободка с электродами ЭЭГ на голове человека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 состав комплекта входит сенсор для регистрации кожно-гальванической реакции (Далее - сенсор КГР)</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Сенсор КГР осуществляет регистрацию сопротивления поверхности кожи человека на постоянном токе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Неинвазивный способ регистрации КГР</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Тип электродов для регистрации КГР - сухие, многоразовые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Режим измерения - на постоянном токе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выходного сигнала - цифровой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Интерфейс передачи данных - UART</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Напряжение питания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Потребляемый ток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9</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мА</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Фиксация кабельного коннектора сенсора </w:t>
            </w:r>
            <w:r w:rsidRPr="006335FA">
              <w:rPr>
                <w:rFonts w:ascii="Times New Roman" w:eastAsia="Calibri" w:hAnsi="Times New Roman" w:cs="Times New Roman"/>
                <w:color w:val="000000"/>
                <w:lang w:eastAsia="ru-RU"/>
              </w:rPr>
              <w:lastRenderedPageBreak/>
              <w:t>при его подключении к модулю "Центральный"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lastRenderedPageBreak/>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Число регистрируемых каналов КГР</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Количество сенсоров КГР в комплекте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 индикатора работоспособности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Длина проводов электродов, см.</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tabs>
                <w:tab w:val="center" w:pos="813"/>
              </w:tabs>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20</w:t>
            </w:r>
            <w:r w:rsidRPr="006335FA">
              <w:rPr>
                <w:rFonts w:ascii="Times New Roman" w:eastAsia="Calibri" w:hAnsi="Times New Roman" w:cs="Times New Roman"/>
                <w:color w:val="000000"/>
                <w:lang w:eastAsia="ru-RU"/>
              </w:rPr>
              <w:tab/>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Подключение электродов к сенсору осуществляется с помощью TouchProof разъемов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 состав комплекта входит сенсор для регистрации сигнала колебания грудной клетки (Сенсор дыхания)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Сенсор дыхания обеспечивает возможность определения частоты дыхания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выходного сигнала - цифровой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Интерфейс передачи данных - UART</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Напряжение питания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Потребляемый ток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45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мА</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Фиксация кабельного коннектора сенсора при его подключении к модулю "Центральный"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Число регистрируемых каналов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Количество сенсоров дыхания в комплекте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 индикатора работоспособности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 состав комплекта входит Устройство для сбора данных от сенсоров и передачи на персональный компьютер (Далее - Модуль "Центральный")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Модуль «Центральный» принимает данные от сенсоров и передает эти данные на персональный компьютер (ПК)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Интерфейс подключения к ПК - USB</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Напряжение питания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Потребляемый ток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0,5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мА</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 гальванической изоляции от ПК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w:t>
            </w:r>
            <w:r w:rsidRPr="006335FA">
              <w:rPr>
                <w:rFonts w:ascii="Times New Roman" w:eastAsia="Calibri" w:hAnsi="Times New Roman" w:cs="Times New Roman"/>
                <w:color w:val="000000"/>
                <w:lang w:eastAsia="ru-RU"/>
              </w:rPr>
              <w:lastRenderedPageBreak/>
              <w:t>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Число каналов для подключения сенсоров, входящих в комплект</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4</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Число одновременно регистрируемых сигналов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4</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Подключение сенсоров к Центральному модулю осуществляется с помощью специализированных разъемов типа LEMO</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w:t>
            </w:r>
            <w:r w:rsidRPr="006335FA">
              <w:rPr>
                <w:rFonts w:ascii="Times New Roman" w:eastAsia="Calibri" w:hAnsi="Times New Roman" w:cs="Times New Roman"/>
                <w:color w:val="000000"/>
                <w:lang w:eastAsia="ru-RU"/>
              </w:rPr>
              <w:lastRenderedPageBreak/>
              <w:t>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 гальванической изоляции для каждого из каналов для подключения сторонних устройств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 индикации приема данных от сторонних устройств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Количество модулей "Центральный" в комплекте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w:t>
            </w:r>
            <w:r w:rsidRPr="006335FA">
              <w:rPr>
                <w:rFonts w:ascii="Times New Roman" w:eastAsia="Calibri" w:hAnsi="Times New Roman" w:cs="Times New Roman"/>
                <w:color w:val="000000"/>
                <w:lang w:eastAsia="ru-RU"/>
              </w:rPr>
              <w:lastRenderedPageBreak/>
              <w:t>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 состав комплекта входит модуль,  обеспечивающий возможность разметки регистрируемых сигналов (модуль “Кнопка”)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Количество размечаемых  различных категории состояний модулем “Кнопка”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3</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Тип выходного сигнала - цифровой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val="restart"/>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 xml:space="preserve">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w:t>
            </w:r>
            <w:r w:rsidRPr="006335FA">
              <w:rPr>
                <w:rFonts w:ascii="Times New Roman" w:eastAsia="Calibri" w:hAnsi="Times New Roman" w:cs="Times New Roman"/>
                <w:lang w:eastAsia="ru-RU"/>
              </w:rPr>
              <w:lastRenderedPageBreak/>
              <w:t>измерений, удобства использования цифровой лаборатории.</w:t>
            </w: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Интерфейс передачи данных - UART</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Напряжение питания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5</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Потребляемый ток</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6</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мА</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Фиксация кабельного коннектора модуля "Кнопка" при его подключении к модулю "Центральный"</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Количество модулей "Кнопка"  в комплекте</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1</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шт.</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55"/>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 индикатора работоспособности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vMerge/>
            <w:hideMark/>
          </w:tcPr>
          <w:p w:rsidR="006335FA" w:rsidRPr="006335FA" w:rsidRDefault="006335FA" w:rsidP="006335FA">
            <w:pPr>
              <w:spacing w:after="0" w:line="240" w:lineRule="auto"/>
              <w:rPr>
                <w:rFonts w:ascii="Times New Roman" w:eastAsia="Calibri" w:hAnsi="Times New Roman" w:cs="Times New Roman"/>
                <w:lang w:eastAsia="ru-RU"/>
              </w:rPr>
            </w:pP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 состав комплекта входит устройство, обеспечивающее возможность регистрации артериального давления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51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Программное обеспечение (далее - ПО) обеспечивает визуализацию и обработку регистрируемых сигналов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включает в себя вкладки, каждая из которых содержит набор графиков, необходимых для отображения требуемой информации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w:t>
            </w:r>
            <w:r w:rsidRPr="006335FA">
              <w:rPr>
                <w:rFonts w:ascii="Times New Roman" w:eastAsia="Calibri" w:hAnsi="Times New Roman" w:cs="Times New Roman"/>
                <w:color w:val="000000"/>
                <w:lang w:eastAsia="ru-RU"/>
              </w:rPr>
              <w:lastRenderedPageBreak/>
              <w:t>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многоканального (полиграфического) режима работы устройства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xml:space="preserve">ПО включает вкладку для одновременного просмотра сигнала со всех сенсоров комплекта, одновременно подключенных к модулю "Центральный" </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включает в себя вкладки для визуализации сигналов от сенсоров ЭМГ, ФПГ, ЭКГ, КГР, ЭЭГ, сенсора дыхания, модуля "Кнопки", а также производных графиков, на которых визуализируются специфичные величины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визуализации и обработки регистрируемых данных с сенсора ЭМГ, а именно: визуализация сигнала, спектр сигнала, амплитудный триггер</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визуализации и обработки регистрируемых данных с сенсора ЭКГ, а именно: визуализация сигнала, тахограммы, график пульса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визуализации и обработки регистрируемых данных с сенсора КГР, а именно: визуализация сигнала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визуализации и обработки регистрируемых данных с сенсора ЭЭГ, а именно: визуализация сигнала, спектр сигнала, амплитуда альфа-ритма, амплитуда бета-ритма.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визуализации и обработки регистрируемых данных с сенсора ФПГ, а именно: визуализация сигнала, спектра сигнала, тахограммы, график пульса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визуализации и обработки регистрируемых данных с сенсора дыхания, а именно: визуализация сигнала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визуализации и обработки регистрируемых данных с модуля "Кнопка", а именно: визуализация сигнала разметки</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кастомизации и настройки для эффективного отображения графиков, а именно: настройка цвета, выбор параметров для анализа, выбор отображаемых графиков и масштабирование графиков.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записи и воспроизведения регистрируемых сигналов.</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настройки параметров фильтрации сигнала с помощью фильтра нижних частот, фильтра высоких частот, полосового фильтра, режекторного фильтра</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ПО обеспечивает возможность записи регистрируемых сигналов в файл, с  возможностью их последующего воспроизведения в данном ПО</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r w:rsidR="006335FA" w:rsidRPr="006335FA" w:rsidTr="004D465C">
        <w:trPr>
          <w:trHeight w:val="153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В состав комплекта входят методические материалы для учителя и обучающихся, описание подключения сенсоров лаборатории, инструкции по использованию ПО, описание лабораторных и практических работ (учебное пособие), которые в том числе содержат презентационные материалы</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наличие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auto" w:fill="auto"/>
            <w:hideMark/>
          </w:tcPr>
          <w:p w:rsidR="006335FA" w:rsidRPr="006335FA" w:rsidRDefault="006335FA" w:rsidP="006335FA">
            <w:pPr>
              <w:spacing w:after="0" w:line="240" w:lineRule="auto"/>
              <w:rPr>
                <w:rFonts w:ascii="Times New Roman" w:eastAsia="Calibri" w:hAnsi="Times New Roman" w:cs="Times New Roman"/>
                <w:lang w:eastAsia="ru-RU"/>
              </w:rPr>
            </w:pPr>
            <w:r w:rsidRPr="006335FA">
              <w:rPr>
                <w:rFonts w:ascii="Times New Roman" w:eastAsia="Calibri" w:hAnsi="Times New Roman" w:cs="Times New Roman"/>
                <w:lang w:eastAsia="ru-RU"/>
              </w:rPr>
              <w:t>Соответствует  КТРУ 26.20.40.190-00000001  Цифровая лаборатория для школьников</w:t>
            </w:r>
          </w:p>
        </w:tc>
      </w:tr>
      <w:tr w:rsidR="006335FA" w:rsidRPr="006335FA" w:rsidTr="004D465C">
        <w:trPr>
          <w:trHeight w:val="2040"/>
        </w:trPr>
        <w:tc>
          <w:tcPr>
            <w:tcW w:w="6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1622"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2409"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Упаковка комплекта обеспечивает хранение и содержит подсказки для расположения сенсоров, модулей и устройств комплекта для удобного использования преподавателями и обучающимися</w:t>
            </w:r>
          </w:p>
        </w:tc>
        <w:tc>
          <w:tcPr>
            <w:tcW w:w="1985"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1842" w:type="dxa"/>
            <w:shd w:val="clear" w:color="auto" w:fill="auto"/>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соответствие</w:t>
            </w:r>
          </w:p>
        </w:tc>
        <w:tc>
          <w:tcPr>
            <w:tcW w:w="993" w:type="dxa"/>
            <w:shd w:val="clear" w:color="auto" w:fill="auto"/>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 </w:t>
            </w:r>
          </w:p>
        </w:tc>
        <w:tc>
          <w:tcPr>
            <w:tcW w:w="1247" w:type="dxa"/>
            <w:vMerge/>
            <w:hideMark/>
          </w:tcPr>
          <w:p w:rsidR="006335FA" w:rsidRPr="006335FA" w:rsidRDefault="006335FA" w:rsidP="006335FA">
            <w:pPr>
              <w:spacing w:after="0" w:line="240" w:lineRule="auto"/>
              <w:rPr>
                <w:rFonts w:ascii="Times New Roman" w:eastAsia="Calibri" w:hAnsi="Times New Roman" w:cs="Times New Roman"/>
                <w:color w:val="000000"/>
                <w:lang w:eastAsia="ru-RU"/>
              </w:rPr>
            </w:pPr>
          </w:p>
        </w:tc>
        <w:tc>
          <w:tcPr>
            <w:tcW w:w="4111" w:type="dxa"/>
            <w:shd w:val="clear" w:color="000000" w:fill="FFFFFF"/>
            <w:hideMark/>
          </w:tcPr>
          <w:p w:rsidR="006335FA" w:rsidRPr="006335FA" w:rsidRDefault="006335FA" w:rsidP="006335FA">
            <w:pPr>
              <w:spacing w:after="0" w:line="240" w:lineRule="auto"/>
              <w:rPr>
                <w:rFonts w:ascii="Times New Roman" w:eastAsia="Calibri" w:hAnsi="Times New Roman" w:cs="Times New Roman"/>
                <w:color w:val="000000"/>
                <w:lang w:eastAsia="ru-RU"/>
              </w:rPr>
            </w:pPr>
            <w:r w:rsidRPr="006335FA">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bl>
    <w:p w:rsidR="00230F0A" w:rsidRDefault="00230F0A">
      <w:bookmarkStart w:id="0" w:name="_GoBack"/>
      <w:bookmarkEnd w:id="0"/>
    </w:p>
    <w:sectPr w:rsidR="00230F0A" w:rsidSect="006335F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DL">
    <w:altName w:val="Times New Roman"/>
    <w:charset w:val="00"/>
    <w:family w:val="roman"/>
    <w:pitch w:val="variable"/>
    <w:sig w:usb0="00000003" w:usb1="00000000" w:usb2="00000000" w:usb3="00000000" w:csb0="00000001" w:csb1="00000000"/>
  </w:font>
  <w:font w:name="DejaVu Sans">
    <w:altName w:val="Times New Roman"/>
    <w:charset w:val="00"/>
    <w:family w:val="auto"/>
    <w:pitch w:val="variable"/>
  </w:font>
  <w:font w:name="font181">
    <w:altName w:val="Times New Roman"/>
    <w:charset w:val="00"/>
    <w:family w:val="auto"/>
    <w:pitch w:val="variable"/>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0A57"/>
    <w:multiLevelType w:val="multilevel"/>
    <w:tmpl w:val="8B6AF6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E30553"/>
    <w:multiLevelType w:val="multilevel"/>
    <w:tmpl w:val="3148ECE0"/>
    <w:lvl w:ilvl="0">
      <w:start w:val="1"/>
      <w:numFmt w:val="decimal"/>
      <w:lvlText w:val="%1."/>
      <w:lvlJc w:val="left"/>
      <w:pPr>
        <w:tabs>
          <w:tab w:val="num" w:pos="540"/>
        </w:tabs>
        <w:ind w:left="540" w:hanging="540"/>
      </w:pPr>
      <w:rPr>
        <w:rFonts w:hint="default"/>
      </w:rPr>
    </w:lvl>
    <w:lvl w:ilvl="1">
      <w:start w:val="1"/>
      <w:numFmt w:val="decimal"/>
      <w:lvlText w:val="3.%2."/>
      <w:lvlJc w:val="left"/>
      <w:pPr>
        <w:tabs>
          <w:tab w:val="num" w:pos="561"/>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39B1B65"/>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062C6C"/>
    <w:multiLevelType w:val="multilevel"/>
    <w:tmpl w:val="ED10076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7AA40CB"/>
    <w:multiLevelType w:val="multilevel"/>
    <w:tmpl w:val="F6886098"/>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5687210"/>
    <w:multiLevelType w:val="hybridMultilevel"/>
    <w:tmpl w:val="48147E10"/>
    <w:lvl w:ilvl="0" w:tplc="BA8C466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D125F0B"/>
    <w:multiLevelType w:val="multilevel"/>
    <w:tmpl w:val="CADCF0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2A65EC5"/>
    <w:multiLevelType w:val="multilevel"/>
    <w:tmpl w:val="056A1F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B6B6B0C"/>
    <w:multiLevelType w:val="multilevel"/>
    <w:tmpl w:val="FA60CE8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D2F14F4"/>
    <w:multiLevelType w:val="multilevel"/>
    <w:tmpl w:val="DD0E13B8"/>
    <w:lvl w:ilvl="0">
      <w:start w:val="1"/>
      <w:numFmt w:val="decimal"/>
      <w:lvlText w:val="%1."/>
      <w:lvlJc w:val="left"/>
      <w:pPr>
        <w:tabs>
          <w:tab w:val="num" w:pos="540"/>
        </w:tabs>
        <w:ind w:left="540" w:hanging="540"/>
      </w:pPr>
      <w:rPr>
        <w:rFonts w:hint="default"/>
      </w:rPr>
    </w:lvl>
    <w:lvl w:ilvl="1">
      <w:start w:val="1"/>
      <w:numFmt w:val="decimal"/>
      <w:lvlText w:val="2.%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2A639BF"/>
    <w:multiLevelType w:val="multilevel"/>
    <w:tmpl w:val="4E34B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633E02D8"/>
    <w:multiLevelType w:val="hybridMultilevel"/>
    <w:tmpl w:val="710C6A7C"/>
    <w:lvl w:ilvl="0" w:tplc="5C1E41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6DF52522"/>
    <w:multiLevelType w:val="multilevel"/>
    <w:tmpl w:val="AB5A355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6710F52"/>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E46AA8"/>
    <w:multiLevelType w:val="multilevel"/>
    <w:tmpl w:val="04FA2DE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9"/>
  </w:num>
  <w:num w:numId="3">
    <w:abstractNumId w:val="1"/>
  </w:num>
  <w:num w:numId="4">
    <w:abstractNumId w:val="10"/>
  </w:num>
  <w:num w:numId="5">
    <w:abstractNumId w:val="12"/>
  </w:num>
  <w:num w:numId="6">
    <w:abstractNumId w:val="6"/>
  </w:num>
  <w:num w:numId="7">
    <w:abstractNumId w:val="8"/>
  </w:num>
  <w:num w:numId="8">
    <w:abstractNumId w:val="3"/>
  </w:num>
  <w:num w:numId="9">
    <w:abstractNumId w:val="7"/>
  </w:num>
  <w:num w:numId="10">
    <w:abstractNumId w:val="4"/>
  </w:num>
  <w:num w:numId="11">
    <w:abstractNumId w:val="5"/>
  </w:num>
  <w:num w:numId="12">
    <w:abstractNumId w:val="0"/>
  </w:num>
  <w:num w:numId="13">
    <w:abstractNumId w:val="11"/>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5DE"/>
    <w:rsid w:val="0001510C"/>
    <w:rsid w:val="00230F0A"/>
    <w:rsid w:val="00334BB9"/>
    <w:rsid w:val="006335FA"/>
    <w:rsid w:val="008F2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B9"/>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33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4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B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B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4B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BB9"/>
    <w:rPr>
      <w:rFonts w:ascii="Times New Roman" w:eastAsia="Times New Roman" w:hAnsi="Times New Roman" w:cs="Times New Roman"/>
      <w:b/>
      <w:bCs/>
      <w:sz w:val="27"/>
      <w:szCs w:val="27"/>
      <w:lang w:eastAsia="ru-RU"/>
    </w:rPr>
  </w:style>
  <w:style w:type="character" w:styleId="a3">
    <w:name w:val="Strong"/>
    <w:basedOn w:val="a0"/>
    <w:uiPriority w:val="22"/>
    <w:qFormat/>
    <w:rsid w:val="00334BB9"/>
    <w:rPr>
      <w:b/>
      <w:bCs/>
    </w:rPr>
  </w:style>
  <w:style w:type="character" w:styleId="a4">
    <w:name w:val="Emphasis"/>
    <w:basedOn w:val="a0"/>
    <w:uiPriority w:val="20"/>
    <w:qFormat/>
    <w:rsid w:val="00334BB9"/>
    <w:rPr>
      <w:i/>
      <w:iCs/>
    </w:rPr>
  </w:style>
  <w:style w:type="paragraph" w:styleId="a5">
    <w:name w:val="No Spacing"/>
    <w:uiPriority w:val="1"/>
    <w:qFormat/>
    <w:rsid w:val="00334BB9"/>
    <w:pPr>
      <w:spacing w:after="0" w:line="240" w:lineRule="auto"/>
    </w:pPr>
    <w:rPr>
      <w:rFonts w:ascii="Calibri" w:eastAsia="Calibri" w:hAnsi="Calibri" w:cs="Calibri"/>
    </w:rPr>
  </w:style>
  <w:style w:type="paragraph" w:styleId="a6">
    <w:name w:val="Intense Quote"/>
    <w:basedOn w:val="a"/>
    <w:next w:val="a"/>
    <w:link w:val="a7"/>
    <w:uiPriority w:val="30"/>
    <w:qFormat/>
    <w:rsid w:val="00334BB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334BB9"/>
    <w:rPr>
      <w:b/>
      <w:bCs/>
      <w:i/>
      <w:iCs/>
      <w:color w:val="4F81BD" w:themeColor="accent1"/>
    </w:rPr>
  </w:style>
  <w:style w:type="character" w:styleId="a8">
    <w:name w:val="Subtle Reference"/>
    <w:basedOn w:val="a0"/>
    <w:uiPriority w:val="31"/>
    <w:qFormat/>
    <w:rsid w:val="00334BB9"/>
    <w:rPr>
      <w:smallCaps/>
      <w:color w:val="C0504D" w:themeColor="accent2"/>
      <w:u w:val="single"/>
    </w:rPr>
  </w:style>
  <w:style w:type="numbering" w:customStyle="1" w:styleId="11">
    <w:name w:val="Нет списка1"/>
    <w:next w:val="a2"/>
    <w:uiPriority w:val="99"/>
    <w:semiHidden/>
    <w:unhideWhenUsed/>
    <w:rsid w:val="006335FA"/>
  </w:style>
  <w:style w:type="paragraph" w:styleId="a9">
    <w:name w:val="Body Text"/>
    <w:basedOn w:val="a"/>
    <w:link w:val="aa"/>
    <w:rsid w:val="006335FA"/>
    <w:pPr>
      <w:suppressAutoHyphens/>
      <w:spacing w:after="120"/>
    </w:pPr>
    <w:rPr>
      <w:rFonts w:ascii="Calibri" w:eastAsia="Times New Roman" w:hAnsi="Calibri" w:cs="Times New Roman"/>
      <w:kern w:val="1"/>
      <w:lang w:eastAsia="ar-SA"/>
    </w:rPr>
  </w:style>
  <w:style w:type="character" w:customStyle="1" w:styleId="aa">
    <w:name w:val="Основной текст Знак"/>
    <w:basedOn w:val="a0"/>
    <w:link w:val="a9"/>
    <w:rsid w:val="006335FA"/>
    <w:rPr>
      <w:rFonts w:ascii="Calibri" w:eastAsia="Times New Roman" w:hAnsi="Calibri" w:cs="Times New Roman"/>
      <w:kern w:val="1"/>
      <w:lang w:eastAsia="ar-SA"/>
    </w:rPr>
  </w:style>
  <w:style w:type="paragraph" w:customStyle="1" w:styleId="ab">
    <w:name w:val="Подраздел"/>
    <w:rsid w:val="006335FA"/>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c">
    <w:name w:val="Normal (Web)"/>
    <w:uiPriority w:val="99"/>
    <w:rsid w:val="006335FA"/>
    <w:pPr>
      <w:widowControl w:val="0"/>
      <w:suppressAutoHyphens/>
    </w:pPr>
    <w:rPr>
      <w:rFonts w:ascii="Calibri" w:eastAsia="DejaVu Sans" w:hAnsi="Calibri" w:cs="font181"/>
      <w:kern w:val="1"/>
      <w:lang w:eastAsia="ar-SA"/>
    </w:rPr>
  </w:style>
  <w:style w:type="paragraph" w:styleId="21">
    <w:name w:val="Body Text 2"/>
    <w:link w:val="22"/>
    <w:rsid w:val="006335FA"/>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2">
    <w:name w:val="Основной текст 2 Знак"/>
    <w:basedOn w:val="a0"/>
    <w:link w:val="21"/>
    <w:rsid w:val="006335FA"/>
    <w:rPr>
      <w:rFonts w:ascii="Times New Roman" w:eastAsia="DejaVu Sans" w:hAnsi="Times New Roman" w:cs="font181"/>
      <w:kern w:val="1"/>
      <w:sz w:val="24"/>
      <w:szCs w:val="20"/>
      <w:lang w:eastAsia="ar-SA"/>
    </w:rPr>
  </w:style>
  <w:style w:type="paragraph" w:styleId="ad">
    <w:name w:val="Body Text Indent"/>
    <w:aliases w:val="Основной текст 1"/>
    <w:basedOn w:val="a"/>
    <w:link w:val="ae"/>
    <w:rsid w:val="006335FA"/>
    <w:pPr>
      <w:suppressAutoHyphens/>
      <w:spacing w:after="120"/>
      <w:ind w:left="283"/>
    </w:pPr>
    <w:rPr>
      <w:rFonts w:ascii="Calibri" w:eastAsia="Times New Roman" w:hAnsi="Calibri" w:cs="Times New Roman"/>
      <w:kern w:val="1"/>
      <w:lang w:eastAsia="ar-SA"/>
    </w:rPr>
  </w:style>
  <w:style w:type="character" w:customStyle="1" w:styleId="ae">
    <w:name w:val="Основной текст с отступом Знак"/>
    <w:aliases w:val="Основной текст 1 Знак"/>
    <w:basedOn w:val="a0"/>
    <w:link w:val="ad"/>
    <w:rsid w:val="006335FA"/>
    <w:rPr>
      <w:rFonts w:ascii="Calibri" w:eastAsia="Times New Roman" w:hAnsi="Calibri" w:cs="Times New Roman"/>
      <w:kern w:val="1"/>
      <w:lang w:eastAsia="ar-SA"/>
    </w:rPr>
  </w:style>
  <w:style w:type="paragraph" w:styleId="af">
    <w:name w:val="Title"/>
    <w:basedOn w:val="a"/>
    <w:link w:val="af0"/>
    <w:qFormat/>
    <w:rsid w:val="006335FA"/>
    <w:pPr>
      <w:spacing w:before="240" w:after="0" w:line="240" w:lineRule="auto"/>
      <w:jc w:val="center"/>
      <w:outlineLvl w:val="0"/>
    </w:pPr>
    <w:rPr>
      <w:rFonts w:ascii="Arial" w:eastAsia="Times New Roman" w:hAnsi="Arial" w:cs="Times New Roman"/>
      <w:b/>
      <w:kern w:val="28"/>
      <w:sz w:val="32"/>
      <w:szCs w:val="20"/>
      <w:lang w:eastAsia="ru-RU"/>
    </w:rPr>
  </w:style>
  <w:style w:type="character" w:customStyle="1" w:styleId="af0">
    <w:name w:val="Название Знак"/>
    <w:basedOn w:val="a0"/>
    <w:link w:val="af"/>
    <w:rsid w:val="006335FA"/>
    <w:rPr>
      <w:rFonts w:ascii="Arial" w:eastAsia="Times New Roman" w:hAnsi="Arial" w:cs="Times New Roman"/>
      <w:b/>
      <w:kern w:val="28"/>
      <w:sz w:val="32"/>
      <w:szCs w:val="20"/>
      <w:lang w:eastAsia="ru-RU"/>
    </w:rPr>
  </w:style>
  <w:style w:type="paragraph" w:customStyle="1" w:styleId="af1">
    <w:name w:val="Тендерные данные"/>
    <w:basedOn w:val="a"/>
    <w:semiHidden/>
    <w:rsid w:val="006335FA"/>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2">
    <w:name w:val="Абзац списка1"/>
    <w:basedOn w:val="a"/>
    <w:rsid w:val="006335FA"/>
    <w:pPr>
      <w:ind w:left="720"/>
      <w:contextualSpacing/>
      <w:jc w:val="both"/>
    </w:pPr>
    <w:rPr>
      <w:rFonts w:ascii="Calibri" w:eastAsia="Calibri" w:hAnsi="Calibri" w:cs="Times New Roman"/>
      <w:sz w:val="20"/>
      <w:szCs w:val="20"/>
      <w:lang w:val="en-US"/>
    </w:rPr>
  </w:style>
  <w:style w:type="paragraph" w:customStyle="1" w:styleId="ConsPlusNormal">
    <w:name w:val="ConsPlusNormal"/>
    <w:rsid w:val="006335FA"/>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rsid w:val="006335FA"/>
    <w:rPr>
      <w:rFonts w:ascii="Arial" w:eastAsia="Times New Roman" w:hAnsi="Arial" w:cs="Arial"/>
      <w:b/>
      <w:bCs/>
      <w:kern w:val="32"/>
      <w:sz w:val="32"/>
      <w:szCs w:val="32"/>
      <w:lang w:eastAsia="ar-SA"/>
    </w:rPr>
  </w:style>
  <w:style w:type="paragraph" w:styleId="af2">
    <w:name w:val="Balloon Text"/>
    <w:basedOn w:val="a"/>
    <w:link w:val="af3"/>
    <w:uiPriority w:val="99"/>
    <w:semiHidden/>
    <w:unhideWhenUsed/>
    <w:rsid w:val="006335FA"/>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6335FA"/>
    <w:rPr>
      <w:rFonts w:ascii="Tahoma" w:eastAsiaTheme="minorEastAsia" w:hAnsi="Tahoma" w:cs="Tahoma"/>
      <w:sz w:val="16"/>
      <w:szCs w:val="16"/>
      <w:lang w:eastAsia="ru-RU"/>
    </w:rPr>
  </w:style>
  <w:style w:type="paragraph" w:customStyle="1" w:styleId="ConsNormal">
    <w:name w:val="ConsNormal"/>
    <w:semiHidden/>
    <w:rsid w:val="006335F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4">
    <w:name w:val="Обычный + по ширине"/>
    <w:basedOn w:val="a"/>
    <w:rsid w:val="006335FA"/>
    <w:pPr>
      <w:spacing w:after="0" w:line="240" w:lineRule="auto"/>
      <w:jc w:val="both"/>
    </w:pPr>
    <w:rPr>
      <w:rFonts w:ascii="Times New Roman" w:eastAsia="Times New Roman" w:hAnsi="Times New Roman" w:cs="Times New Roman"/>
      <w:sz w:val="24"/>
      <w:szCs w:val="24"/>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6"/>
    <w:uiPriority w:val="9"/>
    <w:unhideWhenUsed/>
    <w:qFormat/>
    <w:rsid w:val="006335FA"/>
    <w:pPr>
      <w:spacing w:after="0" w:line="240" w:lineRule="auto"/>
    </w:pPr>
    <w:rPr>
      <w:rFonts w:eastAsiaTheme="minorEastAsia"/>
      <w:sz w:val="20"/>
      <w:szCs w:val="20"/>
      <w:lang w:eastAsia="ru-RU"/>
    </w:rPr>
  </w:style>
  <w:style w:type="character" w:customStyle="1" w:styleId="af6">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5"/>
    <w:uiPriority w:val="9"/>
    <w:rsid w:val="006335FA"/>
    <w:rPr>
      <w:rFonts w:eastAsiaTheme="minorEastAsia"/>
      <w:sz w:val="20"/>
      <w:szCs w:val="20"/>
      <w:lang w:eastAsia="ru-RU"/>
    </w:rPr>
  </w:style>
  <w:style w:type="character" w:styleId="af7">
    <w:name w:val="footnote reference"/>
    <w:qFormat/>
    <w:rsid w:val="006335FA"/>
    <w:rPr>
      <w:rFonts w:ascii="Times New Roman" w:hAnsi="Times New Roman" w:cs="Times New Roman"/>
      <w:vertAlign w:val="superscript"/>
    </w:rPr>
  </w:style>
  <w:style w:type="paragraph" w:styleId="af8">
    <w:name w:val="header"/>
    <w:basedOn w:val="a"/>
    <w:link w:val="af9"/>
    <w:uiPriority w:val="99"/>
    <w:unhideWhenUsed/>
    <w:rsid w:val="006335FA"/>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rsid w:val="006335FA"/>
    <w:rPr>
      <w:rFonts w:eastAsiaTheme="minorEastAsia"/>
      <w:lang w:eastAsia="ru-RU"/>
    </w:rPr>
  </w:style>
  <w:style w:type="paragraph" w:styleId="afa">
    <w:name w:val="footer"/>
    <w:basedOn w:val="a"/>
    <w:link w:val="afb"/>
    <w:uiPriority w:val="99"/>
    <w:unhideWhenUsed/>
    <w:rsid w:val="006335FA"/>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uiPriority w:val="99"/>
    <w:rsid w:val="006335FA"/>
    <w:rPr>
      <w:rFonts w:eastAsiaTheme="minorEastAsia"/>
      <w:lang w:eastAsia="ru-RU"/>
    </w:rPr>
  </w:style>
  <w:style w:type="character" w:customStyle="1" w:styleId="apple-converted-space">
    <w:name w:val="apple-converted-space"/>
    <w:basedOn w:val="a0"/>
    <w:rsid w:val="006335FA"/>
  </w:style>
  <w:style w:type="character" w:styleId="afc">
    <w:name w:val="Hyperlink"/>
    <w:basedOn w:val="a0"/>
    <w:uiPriority w:val="99"/>
    <w:semiHidden/>
    <w:unhideWhenUsed/>
    <w:rsid w:val="006335FA"/>
    <w:rPr>
      <w:color w:val="0000FF"/>
      <w:u w:val="single"/>
    </w:rPr>
  </w:style>
  <w:style w:type="character" w:styleId="afd">
    <w:name w:val="annotation reference"/>
    <w:uiPriority w:val="99"/>
    <w:unhideWhenUsed/>
    <w:rsid w:val="006335FA"/>
    <w:rPr>
      <w:sz w:val="16"/>
      <w:szCs w:val="16"/>
    </w:rPr>
  </w:style>
  <w:style w:type="paragraph" w:styleId="afe">
    <w:name w:val="annotation text"/>
    <w:basedOn w:val="a"/>
    <w:link w:val="aff"/>
    <w:uiPriority w:val="99"/>
    <w:unhideWhenUsed/>
    <w:rsid w:val="006335FA"/>
    <w:pPr>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0"/>
    <w:link w:val="afe"/>
    <w:uiPriority w:val="99"/>
    <w:rsid w:val="006335FA"/>
    <w:rPr>
      <w:rFonts w:ascii="Times New Roman" w:eastAsia="Times New Roman" w:hAnsi="Times New Roman" w:cs="Times New Roman"/>
      <w:sz w:val="20"/>
      <w:szCs w:val="20"/>
      <w:lang w:val="x-none" w:eastAsia="x-none"/>
    </w:rPr>
  </w:style>
  <w:style w:type="paragraph" w:customStyle="1" w:styleId="parametervalue">
    <w:name w:val="parametervalue"/>
    <w:basedOn w:val="a"/>
    <w:rsid w:val="006335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List Paragraph"/>
    <w:basedOn w:val="a"/>
    <w:link w:val="aff1"/>
    <w:uiPriority w:val="34"/>
    <w:qFormat/>
    <w:rsid w:val="006335FA"/>
    <w:pPr>
      <w:ind w:left="720"/>
      <w:contextualSpacing/>
    </w:pPr>
    <w:rPr>
      <w:rFonts w:eastAsiaTheme="minorEastAsia"/>
      <w:lang w:eastAsia="ru-RU"/>
    </w:r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6335FA"/>
    <w:rPr>
      <w:rFonts w:ascii="Times New Roman" w:hAnsi="Times New Roman"/>
      <w:color w:val="auto"/>
    </w:rPr>
  </w:style>
  <w:style w:type="paragraph" w:styleId="aff2">
    <w:name w:val="annotation subject"/>
    <w:basedOn w:val="afe"/>
    <w:next w:val="afe"/>
    <w:link w:val="aff3"/>
    <w:uiPriority w:val="99"/>
    <w:semiHidden/>
    <w:unhideWhenUsed/>
    <w:rsid w:val="006335FA"/>
    <w:pPr>
      <w:spacing w:after="200"/>
    </w:pPr>
    <w:rPr>
      <w:rFonts w:asciiTheme="minorHAnsi" w:eastAsiaTheme="minorEastAsia" w:hAnsiTheme="minorHAnsi" w:cstheme="minorBidi"/>
      <w:b/>
      <w:bCs/>
      <w:lang w:val="ru-RU" w:eastAsia="ru-RU"/>
    </w:rPr>
  </w:style>
  <w:style w:type="character" w:customStyle="1" w:styleId="aff3">
    <w:name w:val="Тема примечания Знак"/>
    <w:basedOn w:val="aff"/>
    <w:link w:val="aff2"/>
    <w:uiPriority w:val="99"/>
    <w:semiHidden/>
    <w:rsid w:val="006335FA"/>
    <w:rPr>
      <w:rFonts w:ascii="Times New Roman" w:eastAsiaTheme="minorEastAsia" w:hAnsi="Times New Roman" w:cs="Times New Roman"/>
      <w:b/>
      <w:bCs/>
      <w:sz w:val="20"/>
      <w:szCs w:val="20"/>
      <w:lang w:val="x-none" w:eastAsia="ru-RU"/>
    </w:rPr>
  </w:style>
  <w:style w:type="table" w:styleId="aff4">
    <w:name w:val="Table Grid"/>
    <w:basedOn w:val="a1"/>
    <w:uiPriority w:val="39"/>
    <w:rsid w:val="006335F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link w:val="aff0"/>
    <w:uiPriority w:val="34"/>
    <w:rsid w:val="006335FA"/>
    <w:rPr>
      <w:rFonts w:eastAsiaTheme="minorEastAsia"/>
      <w:lang w:eastAsia="ru-RU"/>
    </w:rPr>
  </w:style>
  <w:style w:type="numbering" w:customStyle="1" w:styleId="111">
    <w:name w:val="Нет списка11"/>
    <w:next w:val="a2"/>
    <w:uiPriority w:val="99"/>
    <w:semiHidden/>
    <w:unhideWhenUsed/>
    <w:rsid w:val="006335FA"/>
  </w:style>
  <w:style w:type="character" w:styleId="aff5">
    <w:name w:val="FollowedHyperlink"/>
    <w:basedOn w:val="a0"/>
    <w:uiPriority w:val="99"/>
    <w:semiHidden/>
    <w:unhideWhenUsed/>
    <w:rsid w:val="006335FA"/>
    <w:rPr>
      <w:color w:val="954F72"/>
      <w:u w:val="single"/>
    </w:rPr>
  </w:style>
  <w:style w:type="paragraph" w:customStyle="1" w:styleId="xl67">
    <w:name w:val="xl67"/>
    <w:basedOn w:val="a"/>
    <w:rsid w:val="006335F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633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633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6335FA"/>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6335F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6335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3">
    <w:name w:val="xl83"/>
    <w:basedOn w:val="a"/>
    <w:rsid w:val="006335FA"/>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6335F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6335F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6335F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2">
    <w:name w:val="xl92"/>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4">
    <w:name w:val="xl94"/>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5">
    <w:name w:val="xl95"/>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6">
    <w:name w:val="xl96"/>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8">
    <w:name w:val="xl98"/>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3">
    <w:name w:val="xl103"/>
    <w:basedOn w:val="a"/>
    <w:rsid w:val="006335F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633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
    <w:rsid w:val="00633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633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
    <w:rsid w:val="006335F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
    <w:rsid w:val="006335F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633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6335F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6335FA"/>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2">
    <w:name w:val="xl112"/>
    <w:basedOn w:val="a"/>
    <w:rsid w:val="00633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3">
    <w:name w:val="xl113"/>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4">
    <w:name w:val="xl114"/>
    <w:basedOn w:val="a"/>
    <w:rsid w:val="006335F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633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numbering" w:customStyle="1" w:styleId="23">
    <w:name w:val="Нет списка2"/>
    <w:next w:val="a2"/>
    <w:uiPriority w:val="99"/>
    <w:semiHidden/>
    <w:unhideWhenUsed/>
    <w:rsid w:val="006335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B9"/>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33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4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B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B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4B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BB9"/>
    <w:rPr>
      <w:rFonts w:ascii="Times New Roman" w:eastAsia="Times New Roman" w:hAnsi="Times New Roman" w:cs="Times New Roman"/>
      <w:b/>
      <w:bCs/>
      <w:sz w:val="27"/>
      <w:szCs w:val="27"/>
      <w:lang w:eastAsia="ru-RU"/>
    </w:rPr>
  </w:style>
  <w:style w:type="character" w:styleId="a3">
    <w:name w:val="Strong"/>
    <w:basedOn w:val="a0"/>
    <w:uiPriority w:val="22"/>
    <w:qFormat/>
    <w:rsid w:val="00334BB9"/>
    <w:rPr>
      <w:b/>
      <w:bCs/>
    </w:rPr>
  </w:style>
  <w:style w:type="character" w:styleId="a4">
    <w:name w:val="Emphasis"/>
    <w:basedOn w:val="a0"/>
    <w:uiPriority w:val="20"/>
    <w:qFormat/>
    <w:rsid w:val="00334BB9"/>
    <w:rPr>
      <w:i/>
      <w:iCs/>
    </w:rPr>
  </w:style>
  <w:style w:type="paragraph" w:styleId="a5">
    <w:name w:val="No Spacing"/>
    <w:uiPriority w:val="1"/>
    <w:qFormat/>
    <w:rsid w:val="00334BB9"/>
    <w:pPr>
      <w:spacing w:after="0" w:line="240" w:lineRule="auto"/>
    </w:pPr>
    <w:rPr>
      <w:rFonts w:ascii="Calibri" w:eastAsia="Calibri" w:hAnsi="Calibri" w:cs="Calibri"/>
    </w:rPr>
  </w:style>
  <w:style w:type="paragraph" w:styleId="a6">
    <w:name w:val="Intense Quote"/>
    <w:basedOn w:val="a"/>
    <w:next w:val="a"/>
    <w:link w:val="a7"/>
    <w:uiPriority w:val="30"/>
    <w:qFormat/>
    <w:rsid w:val="00334BB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334BB9"/>
    <w:rPr>
      <w:b/>
      <w:bCs/>
      <w:i/>
      <w:iCs/>
      <w:color w:val="4F81BD" w:themeColor="accent1"/>
    </w:rPr>
  </w:style>
  <w:style w:type="character" w:styleId="a8">
    <w:name w:val="Subtle Reference"/>
    <w:basedOn w:val="a0"/>
    <w:uiPriority w:val="31"/>
    <w:qFormat/>
    <w:rsid w:val="00334BB9"/>
    <w:rPr>
      <w:smallCaps/>
      <w:color w:val="C0504D" w:themeColor="accent2"/>
      <w:u w:val="single"/>
    </w:rPr>
  </w:style>
  <w:style w:type="numbering" w:customStyle="1" w:styleId="11">
    <w:name w:val="Нет списка1"/>
    <w:next w:val="a2"/>
    <w:uiPriority w:val="99"/>
    <w:semiHidden/>
    <w:unhideWhenUsed/>
    <w:rsid w:val="006335FA"/>
  </w:style>
  <w:style w:type="paragraph" w:styleId="a9">
    <w:name w:val="Body Text"/>
    <w:basedOn w:val="a"/>
    <w:link w:val="aa"/>
    <w:rsid w:val="006335FA"/>
    <w:pPr>
      <w:suppressAutoHyphens/>
      <w:spacing w:after="120"/>
    </w:pPr>
    <w:rPr>
      <w:rFonts w:ascii="Calibri" w:eastAsia="Times New Roman" w:hAnsi="Calibri" w:cs="Times New Roman"/>
      <w:kern w:val="1"/>
      <w:lang w:eastAsia="ar-SA"/>
    </w:rPr>
  </w:style>
  <w:style w:type="character" w:customStyle="1" w:styleId="aa">
    <w:name w:val="Основной текст Знак"/>
    <w:basedOn w:val="a0"/>
    <w:link w:val="a9"/>
    <w:rsid w:val="006335FA"/>
    <w:rPr>
      <w:rFonts w:ascii="Calibri" w:eastAsia="Times New Roman" w:hAnsi="Calibri" w:cs="Times New Roman"/>
      <w:kern w:val="1"/>
      <w:lang w:eastAsia="ar-SA"/>
    </w:rPr>
  </w:style>
  <w:style w:type="paragraph" w:customStyle="1" w:styleId="ab">
    <w:name w:val="Подраздел"/>
    <w:rsid w:val="006335FA"/>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c">
    <w:name w:val="Normal (Web)"/>
    <w:uiPriority w:val="99"/>
    <w:rsid w:val="006335FA"/>
    <w:pPr>
      <w:widowControl w:val="0"/>
      <w:suppressAutoHyphens/>
    </w:pPr>
    <w:rPr>
      <w:rFonts w:ascii="Calibri" w:eastAsia="DejaVu Sans" w:hAnsi="Calibri" w:cs="font181"/>
      <w:kern w:val="1"/>
      <w:lang w:eastAsia="ar-SA"/>
    </w:rPr>
  </w:style>
  <w:style w:type="paragraph" w:styleId="21">
    <w:name w:val="Body Text 2"/>
    <w:link w:val="22"/>
    <w:rsid w:val="006335FA"/>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2">
    <w:name w:val="Основной текст 2 Знак"/>
    <w:basedOn w:val="a0"/>
    <w:link w:val="21"/>
    <w:rsid w:val="006335FA"/>
    <w:rPr>
      <w:rFonts w:ascii="Times New Roman" w:eastAsia="DejaVu Sans" w:hAnsi="Times New Roman" w:cs="font181"/>
      <w:kern w:val="1"/>
      <w:sz w:val="24"/>
      <w:szCs w:val="20"/>
      <w:lang w:eastAsia="ar-SA"/>
    </w:rPr>
  </w:style>
  <w:style w:type="paragraph" w:styleId="ad">
    <w:name w:val="Body Text Indent"/>
    <w:aliases w:val="Основной текст 1"/>
    <w:basedOn w:val="a"/>
    <w:link w:val="ae"/>
    <w:rsid w:val="006335FA"/>
    <w:pPr>
      <w:suppressAutoHyphens/>
      <w:spacing w:after="120"/>
      <w:ind w:left="283"/>
    </w:pPr>
    <w:rPr>
      <w:rFonts w:ascii="Calibri" w:eastAsia="Times New Roman" w:hAnsi="Calibri" w:cs="Times New Roman"/>
      <w:kern w:val="1"/>
      <w:lang w:eastAsia="ar-SA"/>
    </w:rPr>
  </w:style>
  <w:style w:type="character" w:customStyle="1" w:styleId="ae">
    <w:name w:val="Основной текст с отступом Знак"/>
    <w:aliases w:val="Основной текст 1 Знак"/>
    <w:basedOn w:val="a0"/>
    <w:link w:val="ad"/>
    <w:rsid w:val="006335FA"/>
    <w:rPr>
      <w:rFonts w:ascii="Calibri" w:eastAsia="Times New Roman" w:hAnsi="Calibri" w:cs="Times New Roman"/>
      <w:kern w:val="1"/>
      <w:lang w:eastAsia="ar-SA"/>
    </w:rPr>
  </w:style>
  <w:style w:type="paragraph" w:styleId="af">
    <w:name w:val="Title"/>
    <w:basedOn w:val="a"/>
    <w:link w:val="af0"/>
    <w:qFormat/>
    <w:rsid w:val="006335FA"/>
    <w:pPr>
      <w:spacing w:before="240" w:after="0" w:line="240" w:lineRule="auto"/>
      <w:jc w:val="center"/>
      <w:outlineLvl w:val="0"/>
    </w:pPr>
    <w:rPr>
      <w:rFonts w:ascii="Arial" w:eastAsia="Times New Roman" w:hAnsi="Arial" w:cs="Times New Roman"/>
      <w:b/>
      <w:kern w:val="28"/>
      <w:sz w:val="32"/>
      <w:szCs w:val="20"/>
      <w:lang w:eastAsia="ru-RU"/>
    </w:rPr>
  </w:style>
  <w:style w:type="character" w:customStyle="1" w:styleId="af0">
    <w:name w:val="Название Знак"/>
    <w:basedOn w:val="a0"/>
    <w:link w:val="af"/>
    <w:rsid w:val="006335FA"/>
    <w:rPr>
      <w:rFonts w:ascii="Arial" w:eastAsia="Times New Roman" w:hAnsi="Arial" w:cs="Times New Roman"/>
      <w:b/>
      <w:kern w:val="28"/>
      <w:sz w:val="32"/>
      <w:szCs w:val="20"/>
      <w:lang w:eastAsia="ru-RU"/>
    </w:rPr>
  </w:style>
  <w:style w:type="paragraph" w:customStyle="1" w:styleId="af1">
    <w:name w:val="Тендерные данные"/>
    <w:basedOn w:val="a"/>
    <w:semiHidden/>
    <w:rsid w:val="006335FA"/>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2">
    <w:name w:val="Абзац списка1"/>
    <w:basedOn w:val="a"/>
    <w:rsid w:val="006335FA"/>
    <w:pPr>
      <w:ind w:left="720"/>
      <w:contextualSpacing/>
      <w:jc w:val="both"/>
    </w:pPr>
    <w:rPr>
      <w:rFonts w:ascii="Calibri" w:eastAsia="Calibri" w:hAnsi="Calibri" w:cs="Times New Roman"/>
      <w:sz w:val="20"/>
      <w:szCs w:val="20"/>
      <w:lang w:val="en-US"/>
    </w:rPr>
  </w:style>
  <w:style w:type="paragraph" w:customStyle="1" w:styleId="ConsPlusNormal">
    <w:name w:val="ConsPlusNormal"/>
    <w:rsid w:val="006335FA"/>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rsid w:val="006335FA"/>
    <w:rPr>
      <w:rFonts w:ascii="Arial" w:eastAsia="Times New Roman" w:hAnsi="Arial" w:cs="Arial"/>
      <w:b/>
      <w:bCs/>
      <w:kern w:val="32"/>
      <w:sz w:val="32"/>
      <w:szCs w:val="32"/>
      <w:lang w:eastAsia="ar-SA"/>
    </w:rPr>
  </w:style>
  <w:style w:type="paragraph" w:styleId="af2">
    <w:name w:val="Balloon Text"/>
    <w:basedOn w:val="a"/>
    <w:link w:val="af3"/>
    <w:uiPriority w:val="99"/>
    <w:semiHidden/>
    <w:unhideWhenUsed/>
    <w:rsid w:val="006335FA"/>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6335FA"/>
    <w:rPr>
      <w:rFonts w:ascii="Tahoma" w:eastAsiaTheme="minorEastAsia" w:hAnsi="Tahoma" w:cs="Tahoma"/>
      <w:sz w:val="16"/>
      <w:szCs w:val="16"/>
      <w:lang w:eastAsia="ru-RU"/>
    </w:rPr>
  </w:style>
  <w:style w:type="paragraph" w:customStyle="1" w:styleId="ConsNormal">
    <w:name w:val="ConsNormal"/>
    <w:semiHidden/>
    <w:rsid w:val="006335F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4">
    <w:name w:val="Обычный + по ширине"/>
    <w:basedOn w:val="a"/>
    <w:rsid w:val="006335FA"/>
    <w:pPr>
      <w:spacing w:after="0" w:line="240" w:lineRule="auto"/>
      <w:jc w:val="both"/>
    </w:pPr>
    <w:rPr>
      <w:rFonts w:ascii="Times New Roman" w:eastAsia="Times New Roman" w:hAnsi="Times New Roman" w:cs="Times New Roman"/>
      <w:sz w:val="24"/>
      <w:szCs w:val="24"/>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6"/>
    <w:uiPriority w:val="9"/>
    <w:unhideWhenUsed/>
    <w:qFormat/>
    <w:rsid w:val="006335FA"/>
    <w:pPr>
      <w:spacing w:after="0" w:line="240" w:lineRule="auto"/>
    </w:pPr>
    <w:rPr>
      <w:rFonts w:eastAsiaTheme="minorEastAsia"/>
      <w:sz w:val="20"/>
      <w:szCs w:val="20"/>
      <w:lang w:eastAsia="ru-RU"/>
    </w:rPr>
  </w:style>
  <w:style w:type="character" w:customStyle="1" w:styleId="af6">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5"/>
    <w:uiPriority w:val="9"/>
    <w:rsid w:val="006335FA"/>
    <w:rPr>
      <w:rFonts w:eastAsiaTheme="minorEastAsia"/>
      <w:sz w:val="20"/>
      <w:szCs w:val="20"/>
      <w:lang w:eastAsia="ru-RU"/>
    </w:rPr>
  </w:style>
  <w:style w:type="character" w:styleId="af7">
    <w:name w:val="footnote reference"/>
    <w:qFormat/>
    <w:rsid w:val="006335FA"/>
    <w:rPr>
      <w:rFonts w:ascii="Times New Roman" w:hAnsi="Times New Roman" w:cs="Times New Roman"/>
      <w:vertAlign w:val="superscript"/>
    </w:rPr>
  </w:style>
  <w:style w:type="paragraph" w:styleId="af8">
    <w:name w:val="header"/>
    <w:basedOn w:val="a"/>
    <w:link w:val="af9"/>
    <w:uiPriority w:val="99"/>
    <w:unhideWhenUsed/>
    <w:rsid w:val="006335FA"/>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rsid w:val="006335FA"/>
    <w:rPr>
      <w:rFonts w:eastAsiaTheme="minorEastAsia"/>
      <w:lang w:eastAsia="ru-RU"/>
    </w:rPr>
  </w:style>
  <w:style w:type="paragraph" w:styleId="afa">
    <w:name w:val="footer"/>
    <w:basedOn w:val="a"/>
    <w:link w:val="afb"/>
    <w:uiPriority w:val="99"/>
    <w:unhideWhenUsed/>
    <w:rsid w:val="006335FA"/>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uiPriority w:val="99"/>
    <w:rsid w:val="006335FA"/>
    <w:rPr>
      <w:rFonts w:eastAsiaTheme="minorEastAsia"/>
      <w:lang w:eastAsia="ru-RU"/>
    </w:rPr>
  </w:style>
  <w:style w:type="character" w:customStyle="1" w:styleId="apple-converted-space">
    <w:name w:val="apple-converted-space"/>
    <w:basedOn w:val="a0"/>
    <w:rsid w:val="006335FA"/>
  </w:style>
  <w:style w:type="character" w:styleId="afc">
    <w:name w:val="Hyperlink"/>
    <w:basedOn w:val="a0"/>
    <w:uiPriority w:val="99"/>
    <w:semiHidden/>
    <w:unhideWhenUsed/>
    <w:rsid w:val="006335FA"/>
    <w:rPr>
      <w:color w:val="0000FF"/>
      <w:u w:val="single"/>
    </w:rPr>
  </w:style>
  <w:style w:type="character" w:styleId="afd">
    <w:name w:val="annotation reference"/>
    <w:uiPriority w:val="99"/>
    <w:unhideWhenUsed/>
    <w:rsid w:val="006335FA"/>
    <w:rPr>
      <w:sz w:val="16"/>
      <w:szCs w:val="16"/>
    </w:rPr>
  </w:style>
  <w:style w:type="paragraph" w:styleId="afe">
    <w:name w:val="annotation text"/>
    <w:basedOn w:val="a"/>
    <w:link w:val="aff"/>
    <w:uiPriority w:val="99"/>
    <w:unhideWhenUsed/>
    <w:rsid w:val="006335FA"/>
    <w:pPr>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0"/>
    <w:link w:val="afe"/>
    <w:uiPriority w:val="99"/>
    <w:rsid w:val="006335FA"/>
    <w:rPr>
      <w:rFonts w:ascii="Times New Roman" w:eastAsia="Times New Roman" w:hAnsi="Times New Roman" w:cs="Times New Roman"/>
      <w:sz w:val="20"/>
      <w:szCs w:val="20"/>
      <w:lang w:val="x-none" w:eastAsia="x-none"/>
    </w:rPr>
  </w:style>
  <w:style w:type="paragraph" w:customStyle="1" w:styleId="parametervalue">
    <w:name w:val="parametervalue"/>
    <w:basedOn w:val="a"/>
    <w:rsid w:val="006335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List Paragraph"/>
    <w:basedOn w:val="a"/>
    <w:link w:val="aff1"/>
    <w:uiPriority w:val="34"/>
    <w:qFormat/>
    <w:rsid w:val="006335FA"/>
    <w:pPr>
      <w:ind w:left="720"/>
      <w:contextualSpacing/>
    </w:pPr>
    <w:rPr>
      <w:rFonts w:eastAsiaTheme="minorEastAsia"/>
      <w:lang w:eastAsia="ru-RU"/>
    </w:r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6335FA"/>
    <w:rPr>
      <w:rFonts w:ascii="Times New Roman" w:hAnsi="Times New Roman"/>
      <w:color w:val="auto"/>
    </w:rPr>
  </w:style>
  <w:style w:type="paragraph" w:styleId="aff2">
    <w:name w:val="annotation subject"/>
    <w:basedOn w:val="afe"/>
    <w:next w:val="afe"/>
    <w:link w:val="aff3"/>
    <w:uiPriority w:val="99"/>
    <w:semiHidden/>
    <w:unhideWhenUsed/>
    <w:rsid w:val="006335FA"/>
    <w:pPr>
      <w:spacing w:after="200"/>
    </w:pPr>
    <w:rPr>
      <w:rFonts w:asciiTheme="minorHAnsi" w:eastAsiaTheme="minorEastAsia" w:hAnsiTheme="minorHAnsi" w:cstheme="minorBidi"/>
      <w:b/>
      <w:bCs/>
      <w:lang w:val="ru-RU" w:eastAsia="ru-RU"/>
    </w:rPr>
  </w:style>
  <w:style w:type="character" w:customStyle="1" w:styleId="aff3">
    <w:name w:val="Тема примечания Знак"/>
    <w:basedOn w:val="aff"/>
    <w:link w:val="aff2"/>
    <w:uiPriority w:val="99"/>
    <w:semiHidden/>
    <w:rsid w:val="006335FA"/>
    <w:rPr>
      <w:rFonts w:ascii="Times New Roman" w:eastAsiaTheme="minorEastAsia" w:hAnsi="Times New Roman" w:cs="Times New Roman"/>
      <w:b/>
      <w:bCs/>
      <w:sz w:val="20"/>
      <w:szCs w:val="20"/>
      <w:lang w:val="x-none" w:eastAsia="ru-RU"/>
    </w:rPr>
  </w:style>
  <w:style w:type="table" w:styleId="aff4">
    <w:name w:val="Table Grid"/>
    <w:basedOn w:val="a1"/>
    <w:uiPriority w:val="39"/>
    <w:rsid w:val="006335F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link w:val="aff0"/>
    <w:uiPriority w:val="34"/>
    <w:rsid w:val="006335FA"/>
    <w:rPr>
      <w:rFonts w:eastAsiaTheme="minorEastAsia"/>
      <w:lang w:eastAsia="ru-RU"/>
    </w:rPr>
  </w:style>
  <w:style w:type="numbering" w:customStyle="1" w:styleId="111">
    <w:name w:val="Нет списка11"/>
    <w:next w:val="a2"/>
    <w:uiPriority w:val="99"/>
    <w:semiHidden/>
    <w:unhideWhenUsed/>
    <w:rsid w:val="006335FA"/>
  </w:style>
  <w:style w:type="character" w:styleId="aff5">
    <w:name w:val="FollowedHyperlink"/>
    <w:basedOn w:val="a0"/>
    <w:uiPriority w:val="99"/>
    <w:semiHidden/>
    <w:unhideWhenUsed/>
    <w:rsid w:val="006335FA"/>
    <w:rPr>
      <w:color w:val="954F72"/>
      <w:u w:val="single"/>
    </w:rPr>
  </w:style>
  <w:style w:type="paragraph" w:customStyle="1" w:styleId="xl67">
    <w:name w:val="xl67"/>
    <w:basedOn w:val="a"/>
    <w:rsid w:val="006335F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633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633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6335FA"/>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6335F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6335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3">
    <w:name w:val="xl83"/>
    <w:basedOn w:val="a"/>
    <w:rsid w:val="006335FA"/>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6335F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6335F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6335F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2">
    <w:name w:val="xl92"/>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4">
    <w:name w:val="xl94"/>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5">
    <w:name w:val="xl95"/>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6">
    <w:name w:val="xl96"/>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8">
    <w:name w:val="xl98"/>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633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3">
    <w:name w:val="xl103"/>
    <w:basedOn w:val="a"/>
    <w:rsid w:val="006335F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633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
    <w:rsid w:val="00633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633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
    <w:rsid w:val="006335F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
    <w:rsid w:val="006335F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633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6335F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6335FA"/>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2">
    <w:name w:val="xl112"/>
    <w:basedOn w:val="a"/>
    <w:rsid w:val="00633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3">
    <w:name w:val="xl113"/>
    <w:basedOn w:val="a"/>
    <w:rsid w:val="00633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4">
    <w:name w:val="xl114"/>
    <w:basedOn w:val="a"/>
    <w:rsid w:val="006335F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633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numbering" w:customStyle="1" w:styleId="23">
    <w:name w:val="Нет списка2"/>
    <w:next w:val="a2"/>
    <w:uiPriority w:val="99"/>
    <w:semiHidden/>
    <w:unhideWhenUsed/>
    <w:rsid w:val="0063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7764</Words>
  <Characters>44259</Characters>
  <Application>Microsoft Office Word</Application>
  <DocSecurity>0</DocSecurity>
  <Lines>368</Lines>
  <Paragraphs>103</Paragraphs>
  <ScaleCrop>false</ScaleCrop>
  <Company/>
  <LinksUpToDate>false</LinksUpToDate>
  <CharactersWithSpaces>51920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dc:creator>
  <cp:keywords/>
  <dc:description/>
  <cp:lastModifiedBy>Катерина</cp:lastModifiedBy>
  <cp:revision>2</cp:revision>
  <dcterms:created xsi:type="dcterms:W3CDTF">2021-08-26T14:22:00Z</dcterms:created>
  <dcterms:modified xsi:type="dcterms:W3CDTF">2021-08-26T14:23:00Z</dcterms:modified>
</cp:coreProperties>
</file>